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6DDA2" w14:textId="1672C206" w:rsidR="005046B5" w:rsidRPr="005046B5" w:rsidRDefault="005046B5" w:rsidP="005046B5">
      <w:pPr>
        <w:tabs>
          <w:tab w:val="center" w:pos="4536"/>
          <w:tab w:val="right" w:pos="9072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Pr="00DF61C3">
        <w:rPr>
          <w:rFonts w:ascii="Arial" w:eastAsia="DengXian" w:hAnsi="Arial" w:cs="Arial"/>
          <w:b/>
          <w:sz w:val="28"/>
          <w:szCs w:val="28"/>
        </w:rPr>
        <w:t>8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ab/>
      </w:r>
      <w:r w:rsidR="00EB4BE3">
        <w:rPr>
          <w:rFonts w:ascii="Arial" w:eastAsia="DengXian" w:hAnsi="Arial" w:cs="Arial"/>
          <w:b/>
          <w:bCs/>
          <w:sz w:val="28"/>
          <w:szCs w:val="28"/>
        </w:rPr>
        <w:t xml:space="preserve">    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R1-</w:t>
      </w:r>
      <w:r w:rsidRPr="005046B5">
        <w:rPr>
          <w:rFonts w:ascii="Arial" w:eastAsia="DengXian" w:hAnsi="Arial" w:cs="Arial"/>
          <w:b/>
          <w:bCs/>
          <w:sz w:val="28"/>
          <w:szCs w:val="28"/>
        </w:rPr>
        <w:t>240740</w:t>
      </w:r>
      <w:r w:rsidR="00057766">
        <w:rPr>
          <w:rFonts w:ascii="Arial" w:eastAsia="DengXian" w:hAnsi="Arial" w:cs="Arial"/>
          <w:b/>
          <w:bCs/>
          <w:sz w:val="28"/>
          <w:szCs w:val="28"/>
        </w:rPr>
        <w:t>1</w:t>
      </w:r>
    </w:p>
    <w:p w14:paraId="374185CA" w14:textId="77777777" w:rsidR="005046B5" w:rsidRPr="00DF61C3" w:rsidRDefault="005046B5" w:rsidP="005046B5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hAnsi="Arial" w:cs="Arial"/>
          <w:b/>
          <w:sz w:val="28"/>
          <w:szCs w:val="28"/>
        </w:rPr>
        <w:t>Maastricht, The Netherlands, 19</w:t>
      </w:r>
      <w:r w:rsidRPr="00DF61C3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DF61C3">
        <w:rPr>
          <w:rFonts w:ascii="Arial" w:hAnsi="Arial" w:cs="Arial"/>
          <w:b/>
          <w:sz w:val="28"/>
          <w:szCs w:val="28"/>
        </w:rPr>
        <w:t xml:space="preserve"> – 23</w:t>
      </w:r>
      <w:r w:rsidRPr="00DF61C3">
        <w:rPr>
          <w:rFonts w:ascii="Arial" w:hAnsi="Arial" w:cs="Arial"/>
          <w:b/>
          <w:sz w:val="28"/>
          <w:szCs w:val="28"/>
          <w:vertAlign w:val="superscript"/>
        </w:rPr>
        <w:t>rd</w:t>
      </w:r>
      <w:r w:rsidRPr="00DF61C3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DF61C3">
        <w:rPr>
          <w:rFonts w:ascii="Arial" w:hAnsi="Arial" w:cs="Arial"/>
          <w:b/>
          <w:sz w:val="28"/>
          <w:szCs w:val="28"/>
        </w:rPr>
        <w:t>August,</w:t>
      </w:r>
      <w:proofErr w:type="gramEnd"/>
      <w:r w:rsidRPr="00DF61C3">
        <w:rPr>
          <w:rFonts w:ascii="Arial" w:hAnsi="Arial" w:cs="Arial"/>
          <w:b/>
          <w:sz w:val="28"/>
          <w:szCs w:val="28"/>
        </w:rPr>
        <w:t xml:space="preserve"> 2024</w:t>
      </w:r>
    </w:p>
    <w:p w14:paraId="7D19E008" w14:textId="6EF2E3E7" w:rsidR="00FB31F9" w:rsidRPr="009E5A41" w:rsidRDefault="00FB31F9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39DC608F" w14:textId="27D44C15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701C41" w:rsidRPr="00E414E9">
        <w:rPr>
          <w:rFonts w:ascii="Arial" w:hAnsi="Arial" w:cs="Arial"/>
          <w:bCs/>
          <w:sz w:val="22"/>
          <w:szCs w:val="22"/>
        </w:rPr>
        <w:t>Reply LS on synchronization source change at the transmitting anchor UE in SL positioning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1DFA7D77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Pr="00E414E9">
        <w:rPr>
          <w:rFonts w:ascii="Arial" w:hAnsi="Arial" w:cs="Arial"/>
          <w:bCs/>
          <w:sz w:val="22"/>
          <w:szCs w:val="22"/>
          <w:lang w:val="en-GB"/>
        </w:rPr>
        <w:t>R1-2405788</w:t>
      </w:r>
      <w:r w:rsidR="00701C41" w:rsidRPr="00E414E9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(R4-2410352)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23462EA5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E414E9">
        <w:rPr>
          <w:rFonts w:ascii="Arial" w:hAnsi="Arial" w:cs="Arial"/>
          <w:sz w:val="22"/>
          <w:szCs w:val="22"/>
        </w:rPr>
        <w:t>NR_pos_enh2</w:t>
      </w:r>
      <w:r w:rsidR="00BA4586" w:rsidRPr="00E414E9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1CAC8B84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r w:rsidR="00496FA7" w:rsidRPr="00E414E9">
        <w:rPr>
          <w:rFonts w:ascii="Arial" w:hAnsi="Arial" w:cs="Arial"/>
          <w:bCs/>
          <w:sz w:val="22"/>
          <w:szCs w:val="22"/>
        </w:rPr>
        <w:t>RAN1</w:t>
      </w:r>
    </w:p>
    <w:p w14:paraId="422617AD" w14:textId="3375DB36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887A83" w:rsidRPr="00E414E9">
        <w:rPr>
          <w:rFonts w:ascii="Arial" w:hAnsi="Arial" w:cs="Arial" w:hint="eastAsia"/>
          <w:bCs/>
          <w:sz w:val="22"/>
          <w:szCs w:val="22"/>
        </w:rPr>
        <w:t>4</w:t>
      </w:r>
    </w:p>
    <w:p w14:paraId="4A672103" w14:textId="15D60DD6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E63650" w:rsidRPr="00E414E9">
        <w:rPr>
          <w:rFonts w:ascii="Arial" w:hAnsi="Arial" w:cs="Arial"/>
          <w:bCs/>
          <w:sz w:val="22"/>
          <w:szCs w:val="22"/>
        </w:rPr>
        <w:t>RAN2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9AA15D" w14:textId="501A62C4" w:rsidR="00A66E74" w:rsidRPr="0042064F" w:rsidRDefault="009A5D47" w:rsidP="00A66E74">
      <w:pPr>
        <w:spacing w:after="120" w:line="260" w:lineRule="exact"/>
        <w:jc w:val="both"/>
        <w:rPr>
          <w:rFonts w:ascii="Arial" w:hAnsi="Arial" w:cs="Arial"/>
          <w:color w:val="FF0000"/>
        </w:rPr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321C6A">
        <w:rPr>
          <w:rFonts w:hint="eastAsia"/>
        </w:rPr>
        <w:t>4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611469" w:rsidRPr="00321C6A">
        <w:t xml:space="preserve"> </w:t>
      </w:r>
      <w:r w:rsidR="00321C6A" w:rsidRPr="00321C6A">
        <w:t xml:space="preserve">SL positioning </w:t>
      </w:r>
      <w:proofErr w:type="spellStart"/>
      <w:r w:rsidR="00BA4586">
        <w:rPr>
          <w:rFonts w:hint="eastAsia"/>
        </w:rPr>
        <w:t>positioning</w:t>
      </w:r>
      <w:proofErr w:type="spellEnd"/>
      <w:r w:rsidR="00F14144" w:rsidRPr="00611469">
        <w:t>.</w:t>
      </w:r>
      <w:r w:rsidR="00A66E74">
        <w:t xml:space="preserve">  RAN1 has discussed the issue and has the following reply:</w:t>
      </w:r>
    </w:p>
    <w:p w14:paraId="0D2D7070" w14:textId="6EAB096F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>RAN1</w:t>
      </w:r>
      <w:r w:rsidRPr="00A66E74">
        <w:rPr>
          <w:rFonts w:hint="eastAsia"/>
        </w:rPr>
        <w:t xml:space="preserve"> </w:t>
      </w:r>
      <w:r w:rsidRPr="00A66E74">
        <w:t xml:space="preserve">has not </w:t>
      </w:r>
      <w:r w:rsidRPr="00A66E74">
        <w:rPr>
          <w:rFonts w:hint="eastAsia"/>
        </w:rPr>
        <w:t>introduce</w:t>
      </w:r>
      <w:r w:rsidRPr="00A66E74">
        <w:t>d</w:t>
      </w:r>
      <w:r w:rsidRPr="00A66E74">
        <w:rPr>
          <w:rFonts w:hint="eastAsia"/>
        </w:rPr>
        <w:t xml:space="preserve"> </w:t>
      </w:r>
      <w:r w:rsidRPr="00A66E74">
        <w:t xml:space="preserve">a solution to </w:t>
      </w:r>
      <w:r w:rsidR="0032557B">
        <w:t xml:space="preserve">specifically </w:t>
      </w:r>
      <w:r w:rsidRPr="00A66E74">
        <w:t xml:space="preserve">inform the Rx UE about synchronization reference source </w:t>
      </w:r>
      <w:r w:rsidRPr="00020619">
        <w:t>change</w:t>
      </w:r>
      <w:r w:rsidRPr="00A66E74">
        <w:t xml:space="preserve"> of the UE transmitting SL-PRS. </w:t>
      </w:r>
    </w:p>
    <w:p w14:paraId="233F31B6" w14:textId="77777777" w:rsidR="00A66E74" w:rsidRPr="00A66E74" w:rsidRDefault="00A66E74" w:rsidP="00A66E74">
      <w:pPr>
        <w:pStyle w:val="ListParagraph"/>
        <w:numPr>
          <w:ilvl w:val="1"/>
          <w:numId w:val="43"/>
        </w:numPr>
        <w:contextualSpacing w:val="0"/>
        <w:jc w:val="both"/>
      </w:pPr>
      <w:r w:rsidRPr="00A66E74">
        <w:t xml:space="preserve">RAN1 has </w:t>
      </w:r>
      <w:r w:rsidRPr="00A66E74">
        <w:rPr>
          <w:rFonts w:hint="eastAsia"/>
        </w:rPr>
        <w:t>introduce</w:t>
      </w:r>
      <w:r w:rsidRPr="00A66E74">
        <w:t>d</w:t>
      </w:r>
      <w:r w:rsidRPr="00A66E74">
        <w:rPr>
          <w:rFonts w:hint="eastAsia"/>
        </w:rPr>
        <w:t xml:space="preserve"> </w:t>
      </w:r>
      <w:r w:rsidRPr="00A66E74">
        <w:t>a</w:t>
      </w:r>
      <w:r w:rsidRPr="00A66E74">
        <w:rPr>
          <w:rFonts w:hint="eastAsia"/>
        </w:rPr>
        <w:t xml:space="preserve"> solution </w:t>
      </w:r>
      <w:r w:rsidRPr="00A66E74">
        <w:t>for a UE transmitting SL-PRS to inform a UE performing an SL positioning measurement about synchronization reference source.</w:t>
      </w:r>
    </w:p>
    <w:p w14:paraId="5661DF5E" w14:textId="727661CE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>RAN1 does not intend to introduce any additional solutions for Rel-18 to inform a measuring UE of changes to synchronization source for a transmitting anchor UE</w:t>
      </w:r>
      <w:r w:rsidR="001D307E">
        <w:t>.</w:t>
      </w:r>
    </w:p>
    <w:p w14:paraId="5125D0C1" w14:textId="1AB96B9B" w:rsidR="00A66E74" w:rsidRPr="00A66E74" w:rsidRDefault="00A66E74" w:rsidP="00A66E74">
      <w:pPr>
        <w:pStyle w:val="ListParagraph"/>
        <w:numPr>
          <w:ilvl w:val="0"/>
          <w:numId w:val="43"/>
        </w:numPr>
        <w:contextualSpacing w:val="0"/>
        <w:jc w:val="both"/>
      </w:pPr>
      <w:r w:rsidRPr="00A66E74">
        <w:t xml:space="preserve">This does not preclude other RAN group to introduce such </w:t>
      </w:r>
      <w:proofErr w:type="spellStart"/>
      <w:r w:rsidRPr="00A66E74">
        <w:t>signalling</w:t>
      </w:r>
      <w:proofErr w:type="spellEnd"/>
      <w:r w:rsidRPr="00A66E74">
        <w:t>.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6FA57F1B" w14:textId="45B7022C" w:rsidR="00A66E74" w:rsidRDefault="00371E6E" w:rsidP="00495EE1">
      <w:pPr>
        <w:spacing w:after="120" w:line="260" w:lineRule="exact"/>
        <w:jc w:val="both"/>
      </w:pPr>
      <w:r w:rsidRPr="00371E6E">
        <w:t>In addition, RAN1 thinks the following RAN</w:t>
      </w:r>
      <w:r>
        <w:t xml:space="preserve">1 </w:t>
      </w:r>
      <w:r w:rsidRPr="00371E6E">
        <w:t>agreements are relevant to the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369C" w14:paraId="26A0F984" w14:textId="77777777" w:rsidTr="00CB19E9">
        <w:tc>
          <w:tcPr>
            <w:tcW w:w="9855" w:type="dxa"/>
          </w:tcPr>
          <w:p w14:paraId="3480888F" w14:textId="77777777" w:rsidR="001B369C" w:rsidRDefault="001B369C" w:rsidP="00CB19E9">
            <w:pPr>
              <w:rPr>
                <w:rFonts w:eastAsia="DengXian"/>
                <w:b/>
                <w:bCs/>
                <w:szCs w:val="20"/>
                <w:highlight w:val="green"/>
              </w:rPr>
            </w:pPr>
            <w:r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4203AD04" w14:textId="77777777" w:rsidR="001B369C" w:rsidRDefault="001B369C" w:rsidP="00CB19E9">
            <w:p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Support at least the following mechanism </w:t>
            </w:r>
            <w:r>
              <w:t>to mitigate the impact of synchronization errors between anchor UEs for SL-</w:t>
            </w:r>
            <w:proofErr w:type="spellStart"/>
            <w:r>
              <w:t>TDoA</w:t>
            </w:r>
            <w:proofErr w:type="spellEnd"/>
            <w:r>
              <w:t xml:space="preserve"> based measurement</w:t>
            </w:r>
          </w:p>
          <w:p w14:paraId="22114ED8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Exchange of synchronization information of anchor UEs between a UE and LMF or another UE. </w:t>
            </w:r>
          </w:p>
          <w:p w14:paraId="0D0A6686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FFS detailed synchronization information. </w:t>
            </w:r>
            <w:proofErr w:type="spellStart"/>
            <w:r>
              <w:rPr>
                <w:rFonts w:eastAsia="DengXian"/>
                <w:szCs w:val="20"/>
              </w:rPr>
              <w:t>E.g</w:t>
            </w:r>
            <w:proofErr w:type="spellEnd"/>
            <w:r>
              <w:rPr>
                <w:rFonts w:eastAsia="DengXian"/>
                <w:szCs w:val="20"/>
              </w:rPr>
              <w:t xml:space="preserve">: synchronization source, relative time difference (RTD), </w:t>
            </w:r>
            <w:r>
              <w:rPr>
                <w:rFonts w:eastAsia="Malgun Gothic"/>
                <w:szCs w:val="20"/>
                <w:lang w:eastAsia="ko-KR"/>
              </w:rPr>
              <w:t>synchronization quality information</w:t>
            </w:r>
            <w:r>
              <w:rPr>
                <w:rFonts w:eastAsia="DengXian"/>
                <w:szCs w:val="20"/>
              </w:rPr>
              <w:t xml:space="preserve"> </w:t>
            </w:r>
          </w:p>
          <w:p w14:paraId="630BE30B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 other mechanisms</w:t>
            </w:r>
          </w:p>
          <w:p w14:paraId="5A11F7F5" w14:textId="77777777" w:rsidR="001B369C" w:rsidRDefault="001B369C" w:rsidP="00CB19E9">
            <w:pPr>
              <w:ind w:leftChars="-43" w:left="-103"/>
            </w:pPr>
            <w:r>
              <w:rPr>
                <w:highlight w:val="green"/>
              </w:rPr>
              <w:t>Agreement</w:t>
            </w:r>
          </w:p>
          <w:p w14:paraId="7E625F78" w14:textId="77777777" w:rsidR="001B369C" w:rsidRDefault="001B369C" w:rsidP="00CB19E9">
            <w:pPr>
              <w:ind w:leftChars="-43" w:left="-103"/>
              <w:rPr>
                <w:szCs w:val="16"/>
              </w:rPr>
            </w:pPr>
            <w:r>
              <w:rPr>
                <w:szCs w:val="16"/>
              </w:rPr>
              <w:t>Support to include the following in the exchanged synchronization information of anchor UEs between a UE and LMF or another UE:</w:t>
            </w:r>
          </w:p>
          <w:p w14:paraId="1EF58D42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ind w:leftChars="-43" w:left="-103"/>
              <w:textAlignment w:val="baseline"/>
            </w:pPr>
            <w:r>
              <w:t xml:space="preserve">The synchronization source type (GNSS, </w:t>
            </w:r>
            <w:proofErr w:type="spellStart"/>
            <w:r>
              <w:t>gNB</w:t>
            </w:r>
            <w:proofErr w:type="spellEnd"/>
            <w:r>
              <w:t>/</w:t>
            </w:r>
            <w:proofErr w:type="spellStart"/>
            <w:r>
              <w:t>eNB</w:t>
            </w:r>
            <w:proofErr w:type="spellEnd"/>
            <w:r>
              <w:t xml:space="preserve">, and UE) of anchor UEs, </w:t>
            </w:r>
          </w:p>
          <w:p w14:paraId="4D38F0D2" w14:textId="77777777" w:rsidR="001B369C" w:rsidRDefault="001B369C" w:rsidP="00CB19E9">
            <w:r>
              <w:rPr>
                <w:highlight w:val="green"/>
              </w:rPr>
              <w:t>Agreement</w:t>
            </w:r>
          </w:p>
          <w:p w14:paraId="1C7B8BF2" w14:textId="77777777" w:rsidR="001B369C" w:rsidRDefault="001B369C" w:rsidP="00CB19E9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Update previous agreement on synchronization information exchange with the following modification:</w:t>
            </w:r>
          </w:p>
          <w:tbl>
            <w:tblPr>
              <w:tblW w:w="0" w:type="auto"/>
              <w:tblInd w:w="37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682"/>
            </w:tblGrid>
            <w:tr w:rsidR="001B369C" w14:paraId="0FBF860B" w14:textId="77777777" w:rsidTr="00CB19E9">
              <w:tc>
                <w:tcPr>
                  <w:tcW w:w="8682" w:type="dxa"/>
                  <w:shd w:val="clear" w:color="auto" w:fill="auto"/>
                </w:tcPr>
                <w:p w14:paraId="4AB48CB8" w14:textId="77777777" w:rsidR="001B369C" w:rsidRDefault="001B369C" w:rsidP="00CB19E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t>To mitigate the impact of synchronization errors between anchor UEs for SL-PRS based measurement, the exchanged synchronization information of anchor UEs between a UE and LMF or another UE includes the following:</w:t>
                  </w:r>
                </w:p>
                <w:p w14:paraId="0B874577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szCs w:val="20"/>
                    </w:rPr>
                    <w:t xml:space="preserve">The synchronization source type (GNSS, </w:t>
                  </w:r>
                  <w:proofErr w:type="spellStart"/>
                  <w:r>
                    <w:rPr>
                      <w:rFonts w:eastAsia="Times New Roman"/>
                      <w:szCs w:val="2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szCs w:val="20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Cs w:val="20"/>
                    </w:rPr>
                    <w:t>eNB</w:t>
                  </w:r>
                  <w:proofErr w:type="spellEnd"/>
                  <w:r>
                    <w:rPr>
                      <w:rFonts w:eastAsia="Times New Roman"/>
                      <w:szCs w:val="20"/>
                    </w:rPr>
                    <w:t xml:space="preserve">, and UE) of anchor UEs, </w:t>
                  </w:r>
                </w:p>
                <w:p w14:paraId="5F8098CE" w14:textId="77777777" w:rsidR="001B369C" w:rsidRDefault="001B369C" w:rsidP="001B369C">
                  <w:pPr>
                    <w:pStyle w:val="ListParagraph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1440"/>
                    <w:textAlignment w:val="baseline"/>
                    <w:rPr>
                      <w:rFonts w:eastAsia="Times New Roman"/>
                      <w:strike/>
                      <w:color w:val="FF0000"/>
                    </w:rPr>
                  </w:pPr>
                  <w:r>
                    <w:rPr>
                      <w:rFonts w:eastAsia="Times New Roman"/>
                      <w:strike/>
                      <w:color w:val="FF0000"/>
                    </w:rPr>
                    <w:t xml:space="preserve">[If the synchronization source of an anchor UE is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UE, the anchor UE can optionally indicate the coverage status and synchronization connection status (whether the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 is directly or indirectly synchronized to GNSS/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, or other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UE) of the </w:t>
                  </w:r>
                  <w:proofErr w:type="spellStart"/>
                  <w:r>
                    <w:rPr>
                      <w:rFonts w:eastAsia="Times New Roman"/>
                      <w:strike/>
                      <w:color w:val="FF0000"/>
                    </w:rPr>
                    <w:t>SyncRef</w:t>
                  </w:r>
                  <w:proofErr w:type="spellEnd"/>
                  <w:r>
                    <w:rPr>
                      <w:rFonts w:eastAsia="Times New Roman"/>
                      <w:strike/>
                      <w:color w:val="FF0000"/>
                    </w:rPr>
                    <w:t xml:space="preserve"> UE]</w:t>
                  </w:r>
                </w:p>
                <w:p w14:paraId="637307FA" w14:textId="77777777" w:rsidR="001B369C" w:rsidRDefault="001B369C" w:rsidP="001B369C">
                  <w:pPr>
                    <w:pStyle w:val="ListParagraph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144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color w:val="FF0000"/>
                      <w:szCs w:val="20"/>
                    </w:rPr>
                    <w:t xml:space="preserve">If the synchronization source of an anchor UE is </w:t>
                  </w:r>
                  <w:proofErr w:type="spellStart"/>
                  <w:r>
                    <w:rPr>
                      <w:rFonts w:eastAsia="Times New Roman"/>
                      <w:color w:val="FF0000"/>
                      <w:szCs w:val="20"/>
                    </w:rPr>
                    <w:t>gNB</w:t>
                  </w:r>
                  <w:proofErr w:type="spellEnd"/>
                  <w:r>
                    <w:rPr>
                      <w:rFonts w:eastAsia="Times New Roman"/>
                      <w:color w:val="FF0000"/>
                      <w:szCs w:val="20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color w:val="FF0000"/>
                      <w:szCs w:val="20"/>
                    </w:rPr>
                    <w:t>eNB</w:t>
                  </w:r>
                  <w:proofErr w:type="spellEnd"/>
                  <w:r>
                    <w:rPr>
                      <w:rFonts w:eastAsia="Times New Roman"/>
                      <w:color w:val="FF0000"/>
                      <w:szCs w:val="20"/>
                    </w:rPr>
                    <w:t>, the anchor UE can further provide cell identity information</w:t>
                  </w:r>
                </w:p>
                <w:p w14:paraId="4F05E64C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trike/>
                      <w:color w:val="FF0000"/>
                      <w:szCs w:val="20"/>
                    </w:rPr>
                  </w:pPr>
                  <w:r>
                    <w:rPr>
                      <w:rFonts w:eastAsia="Times New Roman"/>
                      <w:strike/>
                      <w:color w:val="FF0000"/>
                      <w:szCs w:val="20"/>
                    </w:rPr>
                    <w:t>[Synchronization quality/accuracy information]</w:t>
                  </w:r>
                </w:p>
                <w:p w14:paraId="3060E1B4" w14:textId="77777777" w:rsidR="001B369C" w:rsidRDefault="001B369C" w:rsidP="001B369C">
                  <w:pPr>
                    <w:pStyle w:val="ListParagraph"/>
                    <w:numPr>
                      <w:ilvl w:val="0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Cs w:val="20"/>
                    </w:rPr>
                  </w:pPr>
                  <w:r>
                    <w:rPr>
                      <w:rFonts w:eastAsia="Times New Roman"/>
                      <w:szCs w:val="20"/>
                    </w:rPr>
                    <w:t>The RTD between anchor UEs</w:t>
                  </w:r>
                </w:p>
              </w:tc>
            </w:tr>
          </w:tbl>
          <w:p w14:paraId="41860AB2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</w:p>
          <w:p w14:paraId="4E551911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</w:p>
          <w:p w14:paraId="31AF892D" w14:textId="77777777" w:rsidR="001B369C" w:rsidRDefault="001B369C" w:rsidP="00CB19E9">
            <w:pPr>
              <w:rPr>
                <w:rFonts w:eastAsia="DengXian"/>
                <w:b/>
                <w:bCs/>
                <w:szCs w:val="20"/>
              </w:rPr>
            </w:pPr>
            <w:r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362E61AF" w14:textId="77777777" w:rsidR="001B369C" w:rsidRDefault="001B369C" w:rsidP="00CB19E9">
            <w:pPr>
              <w:snapToGrid w:val="0"/>
              <w:jc w:val="both"/>
              <w:rPr>
                <w:rFonts w:eastAsia="DengXian"/>
                <w:szCs w:val="20"/>
              </w:rPr>
            </w:pPr>
            <w:r>
              <w:rPr>
                <w:szCs w:val="20"/>
              </w:rPr>
              <w:t xml:space="preserve">For definition of SL-PRS based Rx-Tx measurement, the </w:t>
            </w:r>
            <w:r>
              <w:rPr>
                <w:rFonts w:eastAsia="DengXian"/>
                <w:szCs w:val="20"/>
              </w:rPr>
              <w:t xml:space="preserve">actual SL-PRS transmission time is used for the definition of SL-PRS based Rx-Tx time difference measurement if the UE optionally reports the Tx time information, otherwise use the Rel-16/17 definition for </w:t>
            </w:r>
            <w:proofErr w:type="spellStart"/>
            <w:r>
              <w:rPr>
                <w:rFonts w:eastAsia="DengXian"/>
                <w:szCs w:val="20"/>
              </w:rPr>
              <w:t>gNB</w:t>
            </w:r>
            <w:proofErr w:type="spellEnd"/>
            <w:r>
              <w:rPr>
                <w:rFonts w:eastAsia="DengXian"/>
                <w:szCs w:val="20"/>
              </w:rPr>
              <w:t xml:space="preserve"> Rx-Tx time difference/UE Rx-Tx time difference in </w:t>
            </w:r>
            <w:proofErr w:type="spellStart"/>
            <w:r>
              <w:rPr>
                <w:rFonts w:eastAsia="DengXian"/>
                <w:szCs w:val="20"/>
              </w:rPr>
              <w:t>Uu</w:t>
            </w:r>
            <w:proofErr w:type="spellEnd"/>
            <w:r>
              <w:rPr>
                <w:rFonts w:eastAsia="DengXian"/>
                <w:szCs w:val="20"/>
              </w:rPr>
              <w:t>.</w:t>
            </w:r>
          </w:p>
          <w:p w14:paraId="2C66445A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FFS: details of the Tx time information</w:t>
            </w:r>
          </w:p>
          <w:p w14:paraId="6A58F900" w14:textId="77777777" w:rsidR="001B369C" w:rsidRDefault="001B369C" w:rsidP="001B369C">
            <w:pPr>
              <w:numPr>
                <w:ilvl w:val="0"/>
                <w:numId w:val="25"/>
              </w:numPr>
              <w:snapToGrid w:val="0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>FFS: whether additionally the network or LMF can request the UE to report the Tx time information</w:t>
            </w:r>
          </w:p>
          <w:p w14:paraId="725559B3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DengXian"/>
                <w:szCs w:val="20"/>
              </w:rPr>
            </w:pPr>
            <w:r>
              <w:rPr>
                <w:rFonts w:eastAsia="DengXian"/>
                <w:szCs w:val="20"/>
              </w:rPr>
              <w:t xml:space="preserve">Note: the value of Rx-Tx measurement is within [-0.5 0.5] </w:t>
            </w:r>
            <w:proofErr w:type="spellStart"/>
            <w:r>
              <w:rPr>
                <w:rFonts w:eastAsia="DengXian"/>
                <w:szCs w:val="20"/>
              </w:rPr>
              <w:t>ms</w:t>
            </w:r>
            <w:proofErr w:type="spellEnd"/>
          </w:p>
          <w:p w14:paraId="4F5F2D06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DengXian"/>
              </w:rPr>
            </w:pPr>
          </w:p>
          <w:p w14:paraId="114F28E8" w14:textId="77777777" w:rsidR="001B369C" w:rsidRDefault="001B369C" w:rsidP="00CB19E9">
            <w:pPr>
              <w:snapToGrid w:val="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24E10B13" w14:textId="77777777" w:rsidR="001B369C" w:rsidRDefault="001B369C" w:rsidP="00CB19E9">
            <w:pPr>
              <w:snapToGrid w:val="0"/>
            </w:pPr>
            <w:r>
              <w:t>For SL-PRS based Rx-Tx measurement, the Tx time information in the measurement report is the associated SL-PRS transmission timestamp.</w:t>
            </w:r>
          </w:p>
          <w:p w14:paraId="6872939E" w14:textId="77777777" w:rsidR="001B369C" w:rsidRDefault="001B369C" w:rsidP="00CB19E9">
            <w:pPr>
              <w:snapToGrid w:val="0"/>
              <w:spacing w:beforeLines="50" w:before="120"/>
              <w:jc w:val="both"/>
            </w:pPr>
            <w:r>
              <w:rPr>
                <w:highlight w:val="green"/>
              </w:rPr>
              <w:t>Agreement</w:t>
            </w:r>
          </w:p>
          <w:p w14:paraId="0E960BB0" w14:textId="77777777" w:rsidR="001B369C" w:rsidRDefault="001B369C" w:rsidP="00CB19E9">
            <w:pPr>
              <w:snapToGri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Regarding the time stamp information in measurement report, support the following:</w:t>
            </w:r>
          </w:p>
          <w:p w14:paraId="2D4B1902" w14:textId="77777777" w:rsidR="001B369C" w:rsidRDefault="001B369C" w:rsidP="001B369C">
            <w:pPr>
              <w:numPr>
                <w:ilvl w:val="0"/>
                <w:numId w:val="44"/>
              </w:numPr>
              <w:snapToGrid w:val="0"/>
              <w:ind w:leftChars="100" w:left="6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 the timestamp of SFN and slot number, at least one of nr-</w:t>
            </w:r>
            <w:proofErr w:type="spellStart"/>
            <w:r>
              <w:rPr>
                <w:bCs/>
                <w:iCs/>
              </w:rPr>
              <w:t>PhysCellID</w:t>
            </w:r>
            <w:proofErr w:type="spellEnd"/>
            <w:r>
              <w:rPr>
                <w:bCs/>
                <w:iCs/>
              </w:rPr>
              <w:t>, nr-ARFCN, nr-</w:t>
            </w:r>
            <w:proofErr w:type="spellStart"/>
            <w:r>
              <w:rPr>
                <w:bCs/>
                <w:iCs/>
              </w:rPr>
              <w:t>CellGlobalID</w:t>
            </w:r>
            <w:proofErr w:type="spellEnd"/>
            <w:r>
              <w:rPr>
                <w:bCs/>
                <w:iCs/>
              </w:rPr>
              <w:t xml:space="preserve"> is included.</w:t>
            </w:r>
          </w:p>
          <w:p w14:paraId="350B32CD" w14:textId="77777777" w:rsidR="001B369C" w:rsidRDefault="001B369C" w:rsidP="001B369C">
            <w:pPr>
              <w:numPr>
                <w:ilvl w:val="0"/>
                <w:numId w:val="44"/>
              </w:numPr>
              <w:snapToGrid w:val="0"/>
              <w:ind w:leftChars="100" w:left="6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 the timestamp of DFN and slot number, the synchronization reference source indication ‘GNSS or UE’ can be optionally included.</w:t>
            </w:r>
          </w:p>
          <w:p w14:paraId="09A8AA7B" w14:textId="77777777" w:rsidR="001B369C" w:rsidRDefault="001B369C" w:rsidP="00CB19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>
              <w:rPr>
                <w:bCs/>
                <w:iCs/>
              </w:rPr>
              <w:t xml:space="preserve">Note: The number of SL-PRS symbols is not </w:t>
            </w:r>
            <w:proofErr w:type="spellStart"/>
            <w:r>
              <w:rPr>
                <w:bCs/>
                <w:iCs/>
              </w:rPr>
              <w:t>signalled</w:t>
            </w:r>
            <w:proofErr w:type="spellEnd"/>
            <w:r>
              <w:rPr>
                <w:bCs/>
                <w:iCs/>
              </w:rPr>
              <w:t xml:space="preserve"> in the SL positioning measurement report.</w:t>
            </w:r>
          </w:p>
        </w:tc>
      </w:tr>
    </w:tbl>
    <w:p w14:paraId="5B9D1952" w14:textId="77777777" w:rsidR="00A66E74" w:rsidRDefault="00A66E74" w:rsidP="00495EE1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E835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 xml:space="preserve">RAN4 </w:t>
      </w:r>
    </w:p>
    <w:p w14:paraId="49E8E915" w14:textId="0D7DD694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321C6A">
        <w:rPr>
          <w:rFonts w:hint="eastAsia"/>
          <w:color w:val="000000"/>
        </w:rPr>
        <w:t>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DD33" w14:textId="45787D52" w:rsidR="007E3E71" w:rsidRDefault="00C76F53" w:rsidP="00C76F53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</w:rPr>
        <w:t>bis</w:t>
      </w:r>
      <w:r>
        <w:rPr>
          <w:rFonts w:ascii="Arial" w:hAnsi="Arial" w:cs="Arial"/>
        </w:rPr>
        <w:tab/>
        <w:t>October 14 – 18</w:t>
      </w:r>
      <w:r w:rsidR="00F01F5C"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r w:rsidR="00E272D9">
        <w:rPr>
          <w:rFonts w:ascii="Arial" w:hAnsi="Arial" w:cs="Arial"/>
        </w:rPr>
        <w:t xml:space="preserve">Hefei, </w:t>
      </w:r>
      <w:r>
        <w:rPr>
          <w:rFonts w:ascii="Arial" w:hAnsi="Arial" w:cs="Arial"/>
        </w:rPr>
        <w:t>China</w:t>
      </w:r>
    </w:p>
    <w:p w14:paraId="4C47A35D" w14:textId="473C65AC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 w:hint="eastAsia"/>
          <w:bCs/>
        </w:rPr>
        <w:t xml:space="preserve">9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November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8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22,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hyperlink r:id="rId10" w:tgtFrame="_blank" w:history="1">
        <w:r w:rsidRPr="00EF2219">
          <w:rPr>
            <w:rFonts w:ascii="Arial" w:hAnsi="Arial" w:cs="Arial"/>
          </w:rPr>
          <w:t>Orlando</w:t>
        </w:r>
      </w:hyperlink>
      <w:r w:rsidR="00BE54AB">
        <w:rPr>
          <w:rFonts w:ascii="Arial" w:hAnsi="Arial" w:cs="Arial"/>
        </w:rPr>
        <w:t>, USA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D0347" w14:textId="77777777" w:rsidR="005344E0" w:rsidRDefault="005344E0">
      <w:r>
        <w:separator/>
      </w:r>
    </w:p>
  </w:endnote>
  <w:endnote w:type="continuationSeparator" w:id="0">
    <w:p w14:paraId="091E3189" w14:textId="77777777" w:rsidR="005344E0" w:rsidRDefault="00534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83335" w14:textId="77777777" w:rsidR="005344E0" w:rsidRDefault="005344E0">
      <w:r>
        <w:separator/>
      </w:r>
    </w:p>
  </w:footnote>
  <w:footnote w:type="continuationSeparator" w:id="0">
    <w:p w14:paraId="65218987" w14:textId="77777777" w:rsidR="005344E0" w:rsidRDefault="00534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707B"/>
    <w:rsid w:val="00047871"/>
    <w:rsid w:val="0005021B"/>
    <w:rsid w:val="00052AED"/>
    <w:rsid w:val="00054883"/>
    <w:rsid w:val="000566A6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CB6"/>
    <w:rsid w:val="001D21CE"/>
    <w:rsid w:val="001D307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1018"/>
    <w:rsid w:val="00473D94"/>
    <w:rsid w:val="00475911"/>
    <w:rsid w:val="0048521F"/>
    <w:rsid w:val="0049170B"/>
    <w:rsid w:val="00493FD2"/>
    <w:rsid w:val="00495EE1"/>
    <w:rsid w:val="00496FA7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20823"/>
    <w:rsid w:val="00532F79"/>
    <w:rsid w:val="005344E0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2BD0"/>
    <w:rsid w:val="005F7459"/>
    <w:rsid w:val="005F7F79"/>
    <w:rsid w:val="00602726"/>
    <w:rsid w:val="00603661"/>
    <w:rsid w:val="00611469"/>
    <w:rsid w:val="00630528"/>
    <w:rsid w:val="00632846"/>
    <w:rsid w:val="00645452"/>
    <w:rsid w:val="00651453"/>
    <w:rsid w:val="00652888"/>
    <w:rsid w:val="0065540A"/>
    <w:rsid w:val="00682F16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49CE"/>
    <w:rsid w:val="006C5C1E"/>
    <w:rsid w:val="006D6606"/>
    <w:rsid w:val="006D6953"/>
    <w:rsid w:val="006E47E7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7704F"/>
    <w:rsid w:val="00780D9D"/>
    <w:rsid w:val="00784085"/>
    <w:rsid w:val="00786996"/>
    <w:rsid w:val="00795F8F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7412"/>
    <w:rsid w:val="0099764C"/>
    <w:rsid w:val="009A5D47"/>
    <w:rsid w:val="009B1A6E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7998"/>
    <w:rsid w:val="00B90C8D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55B2E"/>
    <w:rsid w:val="00D70CE9"/>
    <w:rsid w:val="00D74AEC"/>
    <w:rsid w:val="00D840A0"/>
    <w:rsid w:val="00D912AB"/>
    <w:rsid w:val="00D974C6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11179"/>
    <w:rsid w:val="00E208DE"/>
    <w:rsid w:val="00E272D9"/>
    <w:rsid w:val="00E414E9"/>
    <w:rsid w:val="00E422C3"/>
    <w:rsid w:val="00E54B0F"/>
    <w:rsid w:val="00E55BC0"/>
    <w:rsid w:val="00E623DE"/>
    <w:rsid w:val="00E63650"/>
    <w:rsid w:val="00E64BED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D1E4B"/>
    <w:rsid w:val="00EE0255"/>
    <w:rsid w:val="00EE23AC"/>
    <w:rsid w:val="00EE27B0"/>
    <w:rsid w:val="00EE2AA2"/>
    <w:rsid w:val="00EE6006"/>
    <w:rsid w:val="00EE6D47"/>
    <w:rsid w:val="00EF2219"/>
    <w:rsid w:val="00F01F5C"/>
    <w:rsid w:val="00F030BC"/>
    <w:rsid w:val="00F07126"/>
    <w:rsid w:val="00F14144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B2268"/>
    <w:rsid w:val="00FB31F9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3</TotalTime>
  <Pages>2</Pages>
  <Words>736</Words>
  <Characters>3419</Characters>
  <Application>Microsoft Office Word</Application>
  <DocSecurity>0</DocSecurity>
  <Lines>569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(Ericsson)</cp:lastModifiedBy>
  <cp:revision>3</cp:revision>
  <cp:lastPrinted>2002-04-23T07:10:00Z</cp:lastPrinted>
  <dcterms:created xsi:type="dcterms:W3CDTF">2024-08-21T11:33:00Z</dcterms:created>
  <dcterms:modified xsi:type="dcterms:W3CDTF">2024-08-22T11:01:00Z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